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A373" w14:textId="77777777" w:rsidR="009E3911" w:rsidRDefault="009E3911">
      <w:pPr>
        <w:pStyle w:val="berschrift2"/>
        <w:spacing w:line="240" w:lineRule="auto"/>
      </w:pPr>
      <w:r>
        <w:t>Vorgehen bei Amendments</w:t>
      </w:r>
    </w:p>
    <w:p w14:paraId="100D5037" w14:textId="77777777" w:rsidR="009E3911" w:rsidRDefault="009E3911">
      <w:pPr>
        <w:ind w:left="74"/>
        <w:rPr>
          <w:rFonts w:ascii="Arial" w:hAnsi="Arial" w:cs="Arial"/>
          <w:b/>
          <w:bCs/>
          <w:spacing w:val="-8"/>
        </w:rPr>
      </w:pPr>
      <w:r>
        <w:rPr>
          <w:rFonts w:ascii="Arial" w:hAnsi="Arial" w:cs="Arial"/>
          <w:spacing w:val="-8"/>
          <w:w w:val="110"/>
          <w:sz w:val="18"/>
          <w:szCs w:val="18"/>
        </w:rPr>
        <w:t>Version 05.10.2012</w:t>
      </w:r>
    </w:p>
    <w:p w14:paraId="69CB14DC" w14:textId="77777777" w:rsidR="009E3911" w:rsidRDefault="009E3911">
      <w:pPr>
        <w:spacing w:before="288"/>
        <w:rPr>
          <w:rFonts w:ascii="Arial" w:hAnsi="Arial" w:cs="Arial"/>
          <w:spacing w:val="-12"/>
          <w:w w:val="105"/>
          <w:sz w:val="28"/>
          <w:szCs w:val="28"/>
          <w:u w:val="single"/>
        </w:rPr>
      </w:pPr>
    </w:p>
    <w:p w14:paraId="2EEC35AF" w14:textId="77777777" w:rsidR="009E3911" w:rsidRDefault="009E3911">
      <w:pPr>
        <w:spacing w:before="288"/>
        <w:rPr>
          <w:rFonts w:ascii="Arial" w:hAnsi="Arial" w:cs="Arial"/>
          <w:spacing w:val="-6"/>
          <w:w w:val="105"/>
          <w:sz w:val="28"/>
          <w:szCs w:val="28"/>
          <w:lang w:val="en-GB"/>
        </w:rPr>
      </w:pPr>
      <w:r>
        <w:rPr>
          <w:rFonts w:ascii="Arial" w:hAnsi="Arial" w:cs="Arial"/>
          <w:b/>
          <w:bCs/>
          <w:spacing w:val="-12"/>
          <w:w w:val="105"/>
          <w:sz w:val="28"/>
          <w:szCs w:val="28"/>
        </w:rPr>
        <w:t xml:space="preserve">Bewertungspflichtige nachträgliche Änderungen gem. </w:t>
      </w:r>
      <w:r>
        <w:rPr>
          <w:rFonts w:ascii="Arial" w:hAnsi="Arial" w:cs="Arial"/>
          <w:b/>
          <w:bCs/>
          <w:spacing w:val="-12"/>
          <w:w w:val="105"/>
          <w:sz w:val="28"/>
          <w:szCs w:val="28"/>
          <w:lang w:val="en-GB"/>
        </w:rPr>
        <w:t>§ 10 GCP-V</w:t>
      </w:r>
      <w:r>
        <w:rPr>
          <w:rFonts w:ascii="Arial" w:hAnsi="Arial" w:cs="Arial"/>
          <w:spacing w:val="-12"/>
          <w:w w:val="105"/>
          <w:sz w:val="28"/>
          <w:szCs w:val="28"/>
          <w:u w:val="single"/>
          <w:lang w:val="en-GB"/>
        </w:rPr>
        <w:br/>
      </w:r>
      <w:r>
        <w:rPr>
          <w:rFonts w:ascii="Arial" w:hAnsi="Arial" w:cs="Arial"/>
          <w:spacing w:val="-6"/>
          <w:w w:val="105"/>
          <w:sz w:val="28"/>
          <w:szCs w:val="28"/>
          <w:lang w:val="en-GB"/>
        </w:rPr>
        <w:t>(Substantial Amendments)</w:t>
      </w:r>
    </w:p>
    <w:p w14:paraId="36D4346B" w14:textId="77777777" w:rsidR="009E3911" w:rsidRDefault="009E3911">
      <w:pPr>
        <w:numPr>
          <w:ilvl w:val="0"/>
          <w:numId w:val="4"/>
        </w:numPr>
        <w:spacing w:before="100" w:beforeAutospacing="1"/>
        <w:ind w:right="3168"/>
        <w:rPr>
          <w:rFonts w:ascii="Arial" w:hAnsi="Arial" w:cs="Arial"/>
          <w:b/>
          <w:bCs/>
          <w:spacing w:val="-6"/>
        </w:rPr>
      </w:pPr>
      <w:r>
        <w:rPr>
          <w:rFonts w:ascii="Arial" w:hAnsi="Arial" w:cs="Arial"/>
          <w:b/>
          <w:bCs/>
          <w:spacing w:val="-6"/>
          <w:w w:val="105"/>
        </w:rPr>
        <w:t>Verfahren</w:t>
      </w:r>
    </w:p>
    <w:p w14:paraId="05EBCF68" w14:textId="77777777" w:rsidR="009E3911" w:rsidRDefault="009E3911">
      <w:pPr>
        <w:ind w:right="142"/>
        <w:rPr>
          <w:rFonts w:ascii="Arial" w:hAnsi="Arial" w:cs="Arial"/>
        </w:rPr>
      </w:pPr>
      <w:r>
        <w:rPr>
          <w:rFonts w:ascii="Arial" w:hAnsi="Arial" w:cs="Arial"/>
        </w:rPr>
        <w:t xml:space="preserve">Unterlagen zu </w:t>
      </w:r>
      <w:r>
        <w:rPr>
          <w:rFonts w:ascii="Arial" w:hAnsi="Arial" w:cs="Arial"/>
          <w:i/>
          <w:iCs/>
        </w:rPr>
        <w:t>bewertungspflichtigen nachträglichen Änderungen</w:t>
      </w:r>
      <w:r>
        <w:rPr>
          <w:rFonts w:ascii="Arial" w:hAnsi="Arial" w:cs="Arial"/>
        </w:rPr>
        <w:t xml:space="preserve"> (Definition siehe </w:t>
      </w:r>
      <w:r>
        <w:rPr>
          <w:rFonts w:ascii="Arial" w:hAnsi="Arial" w:cs="Arial"/>
          <w:spacing w:val="-4"/>
        </w:rPr>
        <w:t>§ 10 Abs. 1 GCP-V) sendet der Antragsteller zur Bewertung zeitgleich an die feder</w:t>
      </w:r>
      <w:r>
        <w:rPr>
          <w:rFonts w:ascii="Arial" w:hAnsi="Arial" w:cs="Arial"/>
          <w:spacing w:val="-4"/>
        </w:rPr>
        <w:softHyphen/>
      </w:r>
      <w:r>
        <w:rPr>
          <w:rFonts w:ascii="Arial" w:hAnsi="Arial" w:cs="Arial"/>
          <w:spacing w:val="-1"/>
        </w:rPr>
        <w:t xml:space="preserve">führende und an die beteiligten Ethik-Kommissionen (jeweils max. 2x Papierversion und </w:t>
      </w:r>
      <w:r>
        <w:rPr>
          <w:rFonts w:ascii="Arial" w:hAnsi="Arial" w:cs="Arial"/>
        </w:rPr>
        <w:t>1x elektronische Version).</w:t>
      </w:r>
    </w:p>
    <w:p w14:paraId="428076CA" w14:textId="77777777" w:rsidR="009E3911" w:rsidRDefault="009E3911">
      <w:pPr>
        <w:pStyle w:val="berschrift1"/>
        <w:numPr>
          <w:ilvl w:val="0"/>
          <w:numId w:val="4"/>
        </w:numPr>
        <w:rPr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  <w:t xml:space="preserve">Änderungen von Prüfern/Stellvertretern in einer Prüfstelle </w:t>
      </w:r>
    </w:p>
    <w:p w14:paraId="5559EB17" w14:textId="77777777" w:rsidR="009E3911" w:rsidRDefault="009E3911">
      <w:pPr>
        <w:pStyle w:val="Textkrper"/>
      </w:pPr>
      <w:r>
        <w:t>Die Änderung des Leiters der klinischen Prüfung, des Prüfers oder seines Stell</w:t>
      </w:r>
      <w:r>
        <w:softHyphen/>
        <w:t xml:space="preserve">vertreters in einer Prüfstelle sind bewertungspflichtige, nachträgliche Änderungen </w:t>
      </w:r>
      <w:r>
        <w:br/>
        <w:t>(§ 10 Abs. 1 Nr. 3 GCP-V).</w:t>
      </w:r>
    </w:p>
    <w:p w14:paraId="759CA4AC" w14:textId="77777777" w:rsidR="009E3911" w:rsidRDefault="009E3911">
      <w:pPr>
        <w:spacing w:before="252"/>
        <w:ind w:right="144"/>
        <w:rPr>
          <w:rFonts w:ascii="Arial" w:hAnsi="Arial" w:cs="Arial"/>
          <w:b/>
          <w:bCs/>
          <w:spacing w:val="-11"/>
          <w:w w:val="105"/>
        </w:rPr>
      </w:pPr>
    </w:p>
    <w:p w14:paraId="15665A17" w14:textId="77777777" w:rsidR="009E3911" w:rsidRDefault="009E3911">
      <w:pPr>
        <w:spacing w:before="252"/>
        <w:ind w:right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1"/>
          <w:w w:val="105"/>
          <w:sz w:val="28"/>
          <w:szCs w:val="28"/>
        </w:rPr>
        <w:t xml:space="preserve">Nichtbewertungspflichtige nachträgliche Änderungen </w:t>
      </w:r>
      <w:r>
        <w:rPr>
          <w:rFonts w:ascii="Arial" w:hAnsi="Arial" w:cs="Arial"/>
          <w:b/>
          <w:bCs/>
          <w:spacing w:val="-11"/>
          <w:w w:val="105"/>
          <w:sz w:val="28"/>
          <w:szCs w:val="28"/>
        </w:rPr>
        <w:br/>
      </w:r>
      <w:r>
        <w:rPr>
          <w:rFonts w:ascii="Arial" w:hAnsi="Arial" w:cs="Arial"/>
          <w:spacing w:val="-6"/>
          <w:w w:val="105"/>
          <w:sz w:val="28"/>
          <w:szCs w:val="28"/>
        </w:rPr>
        <w:t>(Non-Substantial Amendments)</w:t>
      </w:r>
    </w:p>
    <w:p w14:paraId="129AE4B9" w14:textId="77777777" w:rsidR="009E3911" w:rsidRDefault="009E3911">
      <w:pPr>
        <w:rPr>
          <w:rFonts w:ascii="Arial" w:hAnsi="Arial" w:cs="Arial"/>
          <w:spacing w:val="-2"/>
        </w:rPr>
      </w:pPr>
    </w:p>
    <w:p w14:paraId="5B4541CE" w14:textId="77777777" w:rsidR="009E3911" w:rsidRDefault="009E3911">
      <w:pPr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Unterlagen zu nichtbewertungspflichtigen nachträglichen Änderungen gehen nur </w:t>
      </w:r>
      <w:r>
        <w:rPr>
          <w:rFonts w:ascii="Arial" w:hAnsi="Arial" w:cs="Arial"/>
          <w:spacing w:val="-5"/>
        </w:rPr>
        <w:t xml:space="preserve">an die federführende Ethik-Kommission (1x Papierversion und 1x elektronische </w:t>
      </w:r>
      <w:r>
        <w:rPr>
          <w:rFonts w:ascii="Arial" w:hAnsi="Arial" w:cs="Arial"/>
        </w:rPr>
        <w:t>Version).</w:t>
      </w:r>
    </w:p>
    <w:p w14:paraId="0AFA694F" w14:textId="77777777" w:rsidR="009E3911" w:rsidRDefault="009E3911">
      <w:pPr>
        <w:spacing w:before="120"/>
        <w:rPr>
          <w:rFonts w:ascii="Arial" w:hAnsi="Arial" w:cs="Arial"/>
        </w:rPr>
      </w:pPr>
      <w:r>
        <w:rPr>
          <w:rFonts w:ascii="Arial" w:hAnsi="Arial" w:cs="Arial"/>
          <w:spacing w:val="-4"/>
          <w:w w:val="105"/>
          <w:sz w:val="22"/>
          <w:szCs w:val="22"/>
        </w:rPr>
        <w:t>N</w:t>
      </w:r>
      <w:r>
        <w:rPr>
          <w:rFonts w:ascii="Arial" w:hAnsi="Arial" w:cs="Arial"/>
          <w:spacing w:val="-4"/>
        </w:rPr>
        <w:t>ichtbewertungspflichtige nachträgliche Änderungen sind gemäß EU-Guidances (</w:t>
      </w:r>
      <w:proofErr w:type="gramStart"/>
      <w:r>
        <w:rPr>
          <w:rFonts w:ascii="Arial" w:hAnsi="Arial" w:cs="Arial"/>
          <w:spacing w:val="-4"/>
        </w:rPr>
        <w:t>CT1</w:t>
      </w:r>
      <w:proofErr w:type="gramEnd"/>
      <w:r>
        <w:rPr>
          <w:rFonts w:ascii="Arial" w:hAnsi="Arial" w:cs="Arial"/>
          <w:spacing w:val="-4"/>
        </w:rPr>
        <w:t xml:space="preserve"> Kap. 4 und </w:t>
      </w:r>
      <w:proofErr w:type="gramStart"/>
      <w:r>
        <w:rPr>
          <w:rFonts w:ascii="Arial" w:hAnsi="Arial" w:cs="Arial"/>
          <w:spacing w:val="-4"/>
        </w:rPr>
        <w:t>CT2</w:t>
      </w:r>
      <w:proofErr w:type="gramEnd"/>
      <w:r>
        <w:rPr>
          <w:rFonts w:ascii="Arial" w:hAnsi="Arial" w:cs="Arial"/>
          <w:spacing w:val="-4"/>
        </w:rPr>
        <w:t xml:space="preserve"> Kap. 6) nicht vorlagepflichtig. Sie sind jedoch sorgfältig zu dokumentie</w:t>
      </w:r>
      <w:r>
        <w:rPr>
          <w:rFonts w:ascii="Arial" w:hAnsi="Arial" w:cs="Arial"/>
          <w:spacing w:val="-4"/>
        </w:rPr>
        <w:softHyphen/>
        <w:t>ren und beim Sponsor und der Prüfstelle zu archi</w:t>
      </w:r>
      <w:r>
        <w:rPr>
          <w:rFonts w:ascii="Arial" w:hAnsi="Arial" w:cs="Arial"/>
          <w:spacing w:val="-4"/>
        </w:rPr>
        <w:softHyphen/>
      </w:r>
      <w:r>
        <w:rPr>
          <w:rFonts w:ascii="Arial" w:hAnsi="Arial" w:cs="Arial"/>
        </w:rPr>
        <w:t>vieren. Die Ethik-Kommission kann jederzeit die Vorlage anfordern.</w:t>
      </w:r>
    </w:p>
    <w:p w14:paraId="43A6BDA3" w14:textId="77777777" w:rsidR="009E3911" w:rsidRDefault="009E3911">
      <w:pPr>
        <w:spacing w:before="120"/>
        <w:rPr>
          <w:rFonts w:ascii="Arial" w:hAnsi="Arial" w:cs="Arial"/>
        </w:rPr>
      </w:pPr>
      <w:r>
        <w:rPr>
          <w:rFonts w:ascii="Arial" w:hAnsi="Arial" w:cs="Arial"/>
          <w:spacing w:val="-5"/>
        </w:rPr>
        <w:t xml:space="preserve">Der Arbeitskreis der Ethik-Kommissionen fordert grundsätzlich die Vorlage folgender </w:t>
      </w:r>
      <w:r>
        <w:rPr>
          <w:rFonts w:ascii="Arial" w:hAnsi="Arial" w:cs="Arial"/>
        </w:rPr>
        <w:t>nichtbewertungspflichtiger nachträglicher Änderungen an:</w:t>
      </w:r>
    </w:p>
    <w:p w14:paraId="6EC5EA0F" w14:textId="77777777" w:rsidR="009E3911" w:rsidRDefault="009E3911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spacing w:val="-5"/>
        </w:rPr>
        <w:t xml:space="preserve">Änderungen in Unterlagen, die sich an die Studienteilnehmer richten </w:t>
      </w:r>
      <w:r>
        <w:rPr>
          <w:rFonts w:ascii="Arial" w:hAnsi="Arial" w:cs="Arial"/>
        </w:rPr>
        <w:t>(Informationsschriften, Fragebogen, etc.)</w:t>
      </w:r>
    </w:p>
    <w:p w14:paraId="39B1251B" w14:textId="77777777" w:rsidR="009E3911" w:rsidRDefault="009E391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BE9469D" w14:textId="77777777" w:rsidR="009E3911" w:rsidRDefault="009E3911">
      <w:pPr>
        <w:spacing w:before="648"/>
      </w:pPr>
    </w:p>
    <w:sectPr w:rsidR="009E3911">
      <w:pgSz w:w="11918" w:h="16854"/>
      <w:pgMar w:top="1688" w:right="1319" w:bottom="1280" w:left="143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4841"/>
    <w:multiLevelType w:val="singleLevel"/>
    <w:tmpl w:val="FFFFFFFF"/>
    <w:lvl w:ilvl="0">
      <w:numFmt w:val="bullet"/>
      <w:lvlText w:val="·"/>
      <w:lvlJc w:val="left"/>
      <w:pPr>
        <w:tabs>
          <w:tab w:val="num" w:pos="432"/>
        </w:tabs>
        <w:ind w:left="432" w:hanging="432"/>
      </w:pPr>
      <w:rPr>
        <w:rFonts w:ascii="Symbol" w:hAnsi="Symbol"/>
        <w:snapToGrid/>
        <w:spacing w:val="-2"/>
        <w:sz w:val="24"/>
      </w:rPr>
    </w:lvl>
  </w:abstractNum>
  <w:abstractNum w:abstractNumId="1" w15:restartNumberingAfterBreak="0">
    <w:nsid w:val="22182886"/>
    <w:multiLevelType w:val="hybridMultilevel"/>
    <w:tmpl w:val="FFFFFFFF"/>
    <w:lvl w:ilvl="0" w:tplc="DFB48EA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525BBAAB">
      <w:numFmt w:val="bullet"/>
      <w:lvlText w:val="·"/>
      <w:lvlJc w:val="left"/>
      <w:pPr>
        <w:tabs>
          <w:tab w:val="num" w:pos="1512"/>
        </w:tabs>
        <w:ind w:left="1512" w:hanging="432"/>
      </w:pPr>
      <w:rPr>
        <w:rFonts w:ascii="Symbol" w:hAnsi="Symbol"/>
        <w:snapToGrid/>
        <w:spacing w:val="-2"/>
        <w:sz w:val="24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12813"/>
    <w:multiLevelType w:val="hybridMultilevel"/>
    <w:tmpl w:val="FFFFFFFF"/>
    <w:lvl w:ilvl="0" w:tplc="94DC2BA6">
      <w:start w:val="1"/>
      <w:numFmt w:val="bullet"/>
      <w:lvlText w:val=""/>
      <w:lvlJc w:val="left"/>
      <w:pPr>
        <w:tabs>
          <w:tab w:val="num" w:pos="717"/>
        </w:tabs>
        <w:ind w:left="697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625C9"/>
    <w:multiLevelType w:val="hybridMultilevel"/>
    <w:tmpl w:val="FFFFFFFF"/>
    <w:lvl w:ilvl="0" w:tplc="94DC2BA6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 w16cid:durableId="1019620169">
    <w:abstractNumId w:val="0"/>
  </w:num>
  <w:num w:numId="2" w16cid:durableId="949703249">
    <w:abstractNumId w:val="0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432" w:hanging="432"/>
        </w:pPr>
        <w:rPr>
          <w:rFonts w:ascii="Symbol" w:hAnsi="Symbol"/>
          <w:snapToGrid/>
          <w:spacing w:val="-4"/>
          <w:w w:val="105"/>
          <w:sz w:val="22"/>
        </w:rPr>
      </w:lvl>
    </w:lvlOverride>
  </w:num>
  <w:num w:numId="3" w16cid:durableId="592010014">
    <w:abstractNumId w:val="2"/>
  </w:num>
  <w:num w:numId="4" w16cid:durableId="1332179295">
    <w:abstractNumId w:val="1"/>
  </w:num>
  <w:num w:numId="5" w16cid:durableId="395470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embedSystemFonts/>
  <w:proofState w:grammar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shapeLayoutLikeWW8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66C"/>
    <w:rsid w:val="002704CF"/>
    <w:rsid w:val="009E3911"/>
    <w:rsid w:val="00CC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8FCCD42"/>
  <w14:defaultImageDpi w14:val="0"/>
  <w15:docId w15:val="{2BC962EE-B7F9-A845-B6CC-9CD6824B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kinsoku w:val="0"/>
    </w:pPr>
    <w:rPr>
      <w:rFonts w:ascii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spacing w:before="100" w:beforeAutospacing="1"/>
      <w:outlineLvl w:val="0"/>
    </w:pPr>
    <w:rPr>
      <w:rFonts w:ascii="Arial" w:hAnsi="Arial" w:cs="Arial"/>
      <w:spacing w:val="-6"/>
      <w:w w:val="105"/>
      <w:sz w:val="28"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spacing w:before="828" w:line="201" w:lineRule="auto"/>
      <w:outlineLvl w:val="1"/>
    </w:pPr>
    <w:rPr>
      <w:rFonts w:ascii="Arial" w:hAnsi="Arial" w:cs="Arial"/>
      <w:spacing w:val="-8"/>
      <w:w w:val="105"/>
      <w:sz w:val="36"/>
      <w:szCs w:val="36"/>
    </w:rPr>
  </w:style>
  <w:style w:type="character" w:default="1" w:styleId="Absatz-Standardschriftart">
    <w:name w:val="Default Paragraph Font"/>
    <w:uiPriority w:val="9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uiPriority w:val="99"/>
    <w:rPr>
      <w:rFonts w:ascii="Arial" w:hAnsi="Arial" w:cs="Arial"/>
      <w:color w:val="000000"/>
    </w:rPr>
  </w:style>
  <w:style w:type="character" w:customStyle="1" w:styleId="TextkrperZchn">
    <w:name w:val="Textkörper Zchn"/>
    <w:link w:val="Textkrper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1215</Characters>
  <Application>Microsoft Office Word</Application>
  <DocSecurity>0</DocSecurity>
  <Lines>121</Lines>
  <Paragraphs>103</Paragraphs>
  <ScaleCrop>false</ScaleCrop>
  <Company>privat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3 (Ursprüngliche Fassung mit Änderungen laut Beschluss der 9</dc:title>
  <dc:subject/>
  <dc:creator>Prof. Doppelfeld</dc:creator>
  <cp:keywords/>
  <dc:description/>
  <cp:lastModifiedBy>Göbel, Jan (extern)</cp:lastModifiedBy>
  <cp:revision>2</cp:revision>
  <cp:lastPrinted>2008-09-09T10:32:00Z</cp:lastPrinted>
  <dcterms:created xsi:type="dcterms:W3CDTF">2026-03-30T12:33:00Z</dcterms:created>
  <dcterms:modified xsi:type="dcterms:W3CDTF">2026-03-30T12:33:00Z</dcterms:modified>
</cp:coreProperties>
</file>